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RODO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 13 ust. 1 i ust.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dnia 27 kwietnia 2016 r. w sprawie ochrony osób fizycznych w związku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przetwarzaniem danych osobowych i w sprawie swobodnego przep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ływu takich danych oraz uchylenia dyrektywy 95/46/WE (ogólne rozporządzenie o ochronie danych) ogólnego rozporządzenia o ochronie danych osobowych z dnia 27 kwietnia 2016 r. informuję, iż: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danych osobowych jest Przedszkole Nr 5 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ul. J. Korczaka 2a 68-300 Lubsko reprezentowane przez dyrektora- Dorotę Busz.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Inspektorem Ochrony Danych jest Pan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Sebastian Banaszak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Kontakt z Inspektorem Ochrony Danych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żliwy jest pod adresem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, tel ;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37 488 294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na podstawie art. 6 ust.I lit. c ogólnego rozporządzenia/w o ochronie danych osobowych w celu realizacji zadań ustawowych, określonych w Ustawie- Prawo oświatowe z dn. 14 grudnia 2016 r. ( Dz. U. z 2017 r. poz. 2198 z późn. zm.) w celu realizacji statutowych zadań opiekuńczych, wychowawczych i dydaktycznych. w placówce.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przechowywane i usuwane w terminach wskazanych w jednolitym rzeczowym wykazie akt oraz instrukcji w sprawie organizacji i zakresu działania składnicy akt zatwierdzonych przez Państwowe Archiwum w Zielonej Górze lub innych przepisach prawa, regulujących czas przetwarzania danych, którym podlega administrator, a jeżeli te przepisy nie wykazują okresu dotyczącego konkretnej sprawy- dane przechowywane będą możliwe najkrótszy czas niezbędny do realizacji obowiązku lub usługi.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przetwarzania dane osobowe nie będą przetwarzane w innym celu niż pierwotny cel przetwarzania.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pozyskiwania danych osobowych administrator podaje osobie,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informację, czy podanie danych osobowych jest wymaganiem ustawowym, umownym lub warunkiem zawarcia umowy oraz czy osoba, której dane dotyczą jest zobowiązana do ich podania i jakie są ewentualnie konsekwencje niepodania danych.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Państwa danych osobowych są: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osoby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żnione przez administratora do przetwarzania danych osobowych w ramach wykonywania swoich obowiązków służbowych;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podmioty, którym administrator zleca wykonanie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z którymi wiąże się konieczność przetwarzania danych (podmioty przetwarzające).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nie przekazuje, ani nie zamierza przekazywa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danych osobowych do państwa trzeciego, czy organizacji międzynarodowych.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nie stosuje mechanizmów zautomatyzowanego podejmowania decyzji, w tym nie stosuje profilowania.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59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Osoba, której dane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przetwarzane w granicach określonych w RODO ma prawo do: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żądania od administratora dostępu do swoich danych osobowych;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sprostowania, 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lub ograniczenia przetwarzania lub wniesienia sprzeciwu wobec przetwarzania danych;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przenoszenia danych;</w:t>
        <w:br/>
        <w:t xml:space="preserve">4)wniesienia skargi do organu nadzoruj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przestrzeganie przepisów ochrony danych osobowych;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5)w przypadku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dobrowolnej zgody na przetwarzanie danych osobowych- prawo do cofnięcia tej zgody w dowolnym momencie, co nie wpływa na zgodność z prawem przetwarzania, którego dokonana na podstawie zgody przed jej cofnięciem.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